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15C48" w14:textId="581862B0" w:rsidR="009C2502" w:rsidRDefault="009C2502" w:rsidP="009C2502">
      <w:pPr>
        <w:jc w:val="center"/>
        <w:rPr>
          <w:b/>
        </w:rPr>
      </w:pPr>
      <w:r w:rsidRPr="006E754B">
        <w:rPr>
          <w:b/>
          <w:caps/>
        </w:rPr>
        <w:t>miesto šventės „Šiaulių dienos 78</w:t>
      </w:r>
      <w:r w:rsidR="005F6BA3">
        <w:rPr>
          <w:b/>
          <w:caps/>
        </w:rPr>
        <w:t>4</w:t>
      </w:r>
      <w:r w:rsidRPr="006E754B">
        <w:rPr>
          <w:b/>
          <w:caps/>
        </w:rPr>
        <w:t xml:space="preserve">“ </w:t>
      </w:r>
      <w:r w:rsidRPr="00EF194B">
        <w:rPr>
          <w:b/>
        </w:rPr>
        <w:t>PREKYME</w:t>
      </w:r>
      <w:r>
        <w:rPr>
          <w:b/>
        </w:rPr>
        <w:t xml:space="preserve">ČIO </w:t>
      </w:r>
    </w:p>
    <w:p w14:paraId="46BE2533" w14:textId="6AB10139" w:rsidR="0083352B" w:rsidRDefault="009C2502" w:rsidP="009C2502">
      <w:pPr>
        <w:jc w:val="center"/>
        <w:rPr>
          <w:b/>
        </w:rPr>
      </w:pPr>
      <w:r>
        <w:rPr>
          <w:b/>
        </w:rPr>
        <w:t>DALYVIO TAISYKLĖS</w:t>
      </w:r>
    </w:p>
    <w:p w14:paraId="2388CF56" w14:textId="5286D1BC" w:rsidR="0080598D" w:rsidRDefault="0080598D" w:rsidP="009C2502">
      <w:pPr>
        <w:jc w:val="center"/>
        <w:rPr>
          <w:b/>
        </w:rPr>
      </w:pPr>
    </w:p>
    <w:p w14:paraId="31084C09" w14:textId="4C44D746" w:rsidR="00C366AB" w:rsidRDefault="0080598D" w:rsidP="0080598D">
      <w:pPr>
        <w:ind w:firstLine="851"/>
        <w:jc w:val="both"/>
        <w:rPr>
          <w:bCs/>
        </w:rPr>
      </w:pPr>
      <w:r w:rsidRPr="0080598D">
        <w:t xml:space="preserve">Atsižvelgiant į </w:t>
      </w:r>
      <w:r>
        <w:t>ekstremalią situaciją, susijusią</w:t>
      </w:r>
      <w:r w:rsidRPr="0080598D">
        <w:t xml:space="preserve"> su </w:t>
      </w:r>
      <w:r w:rsidRPr="0080598D">
        <w:rPr>
          <w:bCs/>
        </w:rPr>
        <w:t>COVID-19 ligos (</w:t>
      </w:r>
      <w:proofErr w:type="spellStart"/>
      <w:r w:rsidRPr="0080598D">
        <w:rPr>
          <w:bCs/>
        </w:rPr>
        <w:t>koronaviruso</w:t>
      </w:r>
      <w:proofErr w:type="spellEnd"/>
      <w:r w:rsidRPr="0080598D">
        <w:rPr>
          <w:bCs/>
        </w:rPr>
        <w:t xml:space="preserve"> infekcijos)</w:t>
      </w:r>
      <w:r>
        <w:rPr>
          <w:bCs/>
        </w:rPr>
        <w:t xml:space="preserve"> epidemiologine situacija, visi šventiniame prekymetyje dalyvaujantys prekeiviai privalo atsakingai laikytis </w:t>
      </w:r>
      <w:r w:rsidR="00C366AB" w:rsidRPr="00F22199">
        <w:rPr>
          <w:bCs/>
        </w:rPr>
        <w:t>Lietuvos Respublikos Vyriausybės 2020 m. vasario 26 d. nutarimo Nr. 152 „Dėl valstybės lygio ekstremal</w:t>
      </w:r>
      <w:r w:rsidR="00F217A1">
        <w:rPr>
          <w:bCs/>
        </w:rPr>
        <w:t>iosios situacijos paskelbimo“,</w:t>
      </w:r>
      <w:r w:rsidR="00C366AB" w:rsidRPr="00F22199">
        <w:rPr>
          <w:bCs/>
        </w:rPr>
        <w:t xml:space="preserve"> Lietuvos Respublikos sveikatos apsaugos ministro – valstybės lygio ekstremaliosios situacijos valstybės operacijų vadovo 2020 m. birželio</w:t>
      </w:r>
      <w:r w:rsidR="00C366AB">
        <w:rPr>
          <w:bCs/>
        </w:rPr>
        <w:t xml:space="preserve"> </w:t>
      </w:r>
      <w:r w:rsidR="00C366AB" w:rsidRPr="00F22199">
        <w:rPr>
          <w:bCs/>
        </w:rPr>
        <w:t>15 d. sprendimo V-1462 „Dėl kultūros, pramogų ir kitų renginių organizavimo būti</w:t>
      </w:r>
      <w:r w:rsidR="00C366AB">
        <w:rPr>
          <w:bCs/>
        </w:rPr>
        <w:t>nų sąlygų“ nuostatų,</w:t>
      </w:r>
      <w:r w:rsidR="00F217A1">
        <w:rPr>
          <w:bCs/>
        </w:rPr>
        <w:t xml:space="preserve"> bei</w:t>
      </w:r>
      <w:r w:rsidR="00C366AB">
        <w:rPr>
          <w:bCs/>
        </w:rPr>
        <w:t xml:space="preserve"> nutarimų, susijusių su </w:t>
      </w:r>
      <w:r w:rsidR="00F217A1">
        <w:rPr>
          <w:bCs/>
        </w:rPr>
        <w:t>veiklos vykdymu ekstremalios</w:t>
      </w:r>
      <w:r w:rsidR="00C366AB">
        <w:rPr>
          <w:bCs/>
        </w:rPr>
        <w:t xml:space="preserve"> padėties </w:t>
      </w:r>
      <w:r w:rsidR="00F217A1">
        <w:rPr>
          <w:bCs/>
        </w:rPr>
        <w:t>laikotarpiu,</w:t>
      </w:r>
      <w:r w:rsidR="00C366AB">
        <w:rPr>
          <w:bCs/>
        </w:rPr>
        <w:t xml:space="preserve"> </w:t>
      </w:r>
      <w:r w:rsidR="00F217A1">
        <w:rPr>
          <w:bCs/>
        </w:rPr>
        <w:t>ir</w:t>
      </w:r>
      <w:r>
        <w:rPr>
          <w:bCs/>
        </w:rPr>
        <w:t xml:space="preserve"> organizatorių pateiktų reikalavimų. </w:t>
      </w:r>
    </w:p>
    <w:p w14:paraId="09295CE3" w14:textId="516C8964" w:rsidR="00482CE2" w:rsidRPr="00F22199" w:rsidRDefault="00482CE2" w:rsidP="00482CE2">
      <w:pPr>
        <w:tabs>
          <w:tab w:val="left" w:pos="1134"/>
        </w:tabs>
        <w:jc w:val="both"/>
        <w:rPr>
          <w:bCs/>
        </w:rPr>
      </w:pPr>
      <w:r>
        <w:rPr>
          <w:bCs/>
        </w:rPr>
        <w:tab/>
      </w:r>
      <w:r w:rsidRPr="00F22199">
        <w:rPr>
          <w:bCs/>
        </w:rPr>
        <w:t>Keičiantis COVID-19 ligos (</w:t>
      </w:r>
      <w:proofErr w:type="spellStart"/>
      <w:r w:rsidRPr="00F22199">
        <w:rPr>
          <w:bCs/>
        </w:rPr>
        <w:t>koronaviruso</w:t>
      </w:r>
      <w:proofErr w:type="spellEnd"/>
      <w:r w:rsidRPr="00F22199">
        <w:rPr>
          <w:bCs/>
        </w:rPr>
        <w:t xml:space="preserve"> infekcijos) epidemiologinei situacijai, atsirandant daugiau įrodymų apie infekcijos plitimą bei taikomų priemonių efektyvumą, situacija dėl ribojimų </w:t>
      </w:r>
      <w:r>
        <w:rPr>
          <w:bCs/>
        </w:rPr>
        <w:t>ir būtinųjų sąlygų gali keistis</w:t>
      </w:r>
      <w:bookmarkStart w:id="0" w:name="_GoBack"/>
      <w:bookmarkEnd w:id="0"/>
      <w:r w:rsidRPr="00F22199">
        <w:rPr>
          <w:bCs/>
        </w:rPr>
        <w:t>.</w:t>
      </w:r>
      <w:r w:rsidRPr="00F22199">
        <w:rPr>
          <w:bCs/>
        </w:rPr>
        <w:tab/>
      </w:r>
    </w:p>
    <w:p w14:paraId="1928FBAE" w14:textId="4B91EF80" w:rsidR="0080598D" w:rsidRDefault="00F217A1" w:rsidP="0080598D">
      <w:pPr>
        <w:ind w:firstLine="851"/>
        <w:jc w:val="both"/>
        <w:rPr>
          <w:b/>
        </w:rPr>
      </w:pPr>
      <w:r>
        <w:rPr>
          <w:bCs/>
        </w:rPr>
        <w:t>Nesilaikant šių taisyklių</w:t>
      </w:r>
      <w:r w:rsidR="0080598D">
        <w:rPr>
          <w:bCs/>
        </w:rPr>
        <w:t xml:space="preserve">, </w:t>
      </w:r>
      <w:r>
        <w:rPr>
          <w:bCs/>
        </w:rPr>
        <w:t xml:space="preserve">nutarimų bei reikalavimų, </w:t>
      </w:r>
      <w:r w:rsidR="0080598D">
        <w:rPr>
          <w:bCs/>
        </w:rPr>
        <w:t>organizatoriai pasilieka teisę uždrausti nedrausmingam prekeiviui</w:t>
      </w:r>
      <w:r w:rsidR="00C366AB">
        <w:rPr>
          <w:bCs/>
        </w:rPr>
        <w:t xml:space="preserve"> dalyvauti pre</w:t>
      </w:r>
      <w:r w:rsidR="0080598D">
        <w:rPr>
          <w:bCs/>
        </w:rPr>
        <w:t>kymetyje.</w:t>
      </w:r>
    </w:p>
    <w:p w14:paraId="07A5F6B7" w14:textId="77777777" w:rsidR="009C2502" w:rsidRPr="00966C01" w:rsidRDefault="009C2502" w:rsidP="0083352B">
      <w:pPr>
        <w:jc w:val="both"/>
      </w:pPr>
    </w:p>
    <w:p w14:paraId="53D90F65" w14:textId="77777777" w:rsidR="0080598D" w:rsidRDefault="0080598D" w:rsidP="0080598D">
      <w:pPr>
        <w:pStyle w:val="prastasiniatinklio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EF194B">
        <w:t xml:space="preserve">Prekybinėje </w:t>
      </w:r>
      <w:r>
        <w:t>prekymečio</w:t>
      </w:r>
      <w:r w:rsidRPr="00EF194B">
        <w:t xml:space="preserve"> vietoje būtina </w:t>
      </w:r>
      <w:r>
        <w:t>dėvėti nosį ir burną dengiančias apsaugos priemones (veido kaukes, respiratorius ar kitas priemones), turėti</w:t>
      </w:r>
      <w:r w:rsidRPr="00EF194B">
        <w:t xml:space="preserve"> </w:t>
      </w:r>
      <w:r>
        <w:t xml:space="preserve">specialias rankų dezinfekcines priemones. </w:t>
      </w:r>
    </w:p>
    <w:p w14:paraId="49307992" w14:textId="77777777" w:rsidR="0080598D" w:rsidRDefault="0080598D" w:rsidP="0080598D">
      <w:pPr>
        <w:pStyle w:val="prastasiniatinklio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EF194B">
        <w:t xml:space="preserve">Prekybinėje </w:t>
      </w:r>
      <w:r>
        <w:t>prekymečio</w:t>
      </w:r>
      <w:r w:rsidRPr="00EF194B">
        <w:t xml:space="preserve"> vietoje būtina turėti: </w:t>
      </w:r>
      <w:r>
        <w:t>leidimą</w:t>
      </w:r>
      <w:r w:rsidRPr="00EF194B">
        <w:t>, asmens tapatybę patvirtinantį dokumentą; darbuotojo darbo pažymėjimą; verslo liudijimą arba individualios veiklos pažymą</w:t>
      </w:r>
      <w:r>
        <w:t xml:space="preserve"> ir kt. būtinus dokumentus.</w:t>
      </w:r>
    </w:p>
    <w:p w14:paraId="63B4B4BF" w14:textId="77777777" w:rsidR="0080598D" w:rsidRPr="00EF194B" w:rsidRDefault="0080598D" w:rsidP="0080598D">
      <w:pPr>
        <w:pStyle w:val="prastasiniatinklio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032B99">
        <w:t xml:space="preserve">Pageidaujama, </w:t>
      </w:r>
      <w:r>
        <w:t xml:space="preserve">kad </w:t>
      </w:r>
      <w:r w:rsidRPr="00032B99">
        <w:t>atliekant atliekų rūšiavimą būtų vengiama plastikinių pakuočių bei indų naudojimo.</w:t>
      </w:r>
    </w:p>
    <w:p w14:paraId="04F66E26" w14:textId="4CF571E1" w:rsidR="009A3552" w:rsidRDefault="009A3552" w:rsidP="00FC7919">
      <w:pPr>
        <w:pStyle w:val="Sraopastraipa"/>
        <w:numPr>
          <w:ilvl w:val="0"/>
          <w:numId w:val="5"/>
        </w:numPr>
        <w:jc w:val="both"/>
      </w:pPr>
      <w:r>
        <w:t>Prekymečio dalyvis privalo vadovautis visais galiojančiais prekybą viešoje vietoje reglamentuojančiais Lietuvos Respublikos teisės aktais</w:t>
      </w:r>
      <w:r w:rsidR="00F03868">
        <w:t xml:space="preserve"> (Bendrųjų gaisrinės saugos taisyklių reikalavimų</w:t>
      </w:r>
      <w:r>
        <w:t>. Organizatorius už prekymečio dalyvio padarytus nusižengimus neatsako.</w:t>
      </w:r>
    </w:p>
    <w:p w14:paraId="7CEC6CF6" w14:textId="77777777" w:rsidR="00F03868" w:rsidRDefault="009A3552" w:rsidP="005660C7">
      <w:pPr>
        <w:pStyle w:val="Sraopastraipa"/>
        <w:numPr>
          <w:ilvl w:val="0"/>
          <w:numId w:val="5"/>
        </w:numPr>
        <w:jc w:val="both"/>
      </w:pPr>
      <w:r>
        <w:t>Į prekymečio teritoriją leidžiama įvažiuoti tik turint tikslą išsikrauti prekes ar išvežti prekes iš renginio teritorijos, prieš pradedant prekybą ar pasibaigus prekybai</w:t>
      </w:r>
      <w:r w:rsidR="00FC7919">
        <w:t xml:space="preserve"> </w:t>
      </w:r>
      <w:r>
        <w:t>organizatorių informaciniame lape nurodytu laiku</w:t>
      </w:r>
      <w:r w:rsidR="00FC7919">
        <w:t xml:space="preserve"> ir nurodytose parkavimosi vietose</w:t>
      </w:r>
      <w:r>
        <w:t>.</w:t>
      </w:r>
      <w:r w:rsidR="00FC7919">
        <w:t xml:space="preserve"> </w:t>
      </w:r>
    </w:p>
    <w:p w14:paraId="151D0C4F" w14:textId="77777777" w:rsidR="00FC7919" w:rsidRDefault="00FC7919" w:rsidP="00FC7919">
      <w:pPr>
        <w:pStyle w:val="Sraopastraipa"/>
        <w:numPr>
          <w:ilvl w:val="0"/>
          <w:numId w:val="5"/>
        </w:numPr>
        <w:jc w:val="both"/>
      </w:pPr>
      <w:r>
        <w:t>Draudžiama laikyti transporto priemonę ar važinėti su ja prekymečio teritorijoje prekybos metu.</w:t>
      </w:r>
    </w:p>
    <w:p w14:paraId="166DFEC1" w14:textId="77777777" w:rsidR="0014633E" w:rsidRDefault="0083352B" w:rsidP="00FC7919">
      <w:pPr>
        <w:pStyle w:val="Sraopastraipa"/>
        <w:numPr>
          <w:ilvl w:val="0"/>
          <w:numId w:val="5"/>
        </w:numPr>
        <w:jc w:val="both"/>
      </w:pPr>
      <w:r w:rsidRPr="00966C01">
        <w:t xml:space="preserve">Prekiauti </w:t>
      </w:r>
      <w:r w:rsidR="0014633E">
        <w:t>prekymetyje</w:t>
      </w:r>
      <w:r w:rsidRPr="00966C01">
        <w:t xml:space="preserve"> tik su organizatori</w:t>
      </w:r>
      <w:r w:rsidR="00A02F1E">
        <w:t xml:space="preserve">umi </w:t>
      </w:r>
      <w:r w:rsidRPr="00966C01">
        <w:t>suderintose vietose.</w:t>
      </w:r>
    </w:p>
    <w:p w14:paraId="14D2F39B" w14:textId="77777777" w:rsidR="00FC7919" w:rsidRDefault="00FC7919" w:rsidP="00FC7919">
      <w:pPr>
        <w:numPr>
          <w:ilvl w:val="0"/>
          <w:numId w:val="5"/>
        </w:numPr>
        <w:jc w:val="both"/>
      </w:pPr>
      <w:r w:rsidRPr="00966C01">
        <w:t xml:space="preserve">Prekiauti tik su </w:t>
      </w:r>
      <w:r>
        <w:t xml:space="preserve">prekymečio </w:t>
      </w:r>
      <w:r w:rsidRPr="00966C01">
        <w:t>organizatori</w:t>
      </w:r>
      <w:r>
        <w:t>umi</w:t>
      </w:r>
      <w:r w:rsidRPr="00966C01">
        <w:t xml:space="preserve"> suderintomis prekėmis. </w:t>
      </w:r>
    </w:p>
    <w:p w14:paraId="7BD82B57" w14:textId="59E74770" w:rsidR="00670A7B" w:rsidRPr="0014633E" w:rsidRDefault="00670A7B" w:rsidP="00FC7919">
      <w:pPr>
        <w:numPr>
          <w:ilvl w:val="0"/>
          <w:numId w:val="5"/>
        </w:numPr>
        <w:jc w:val="both"/>
      </w:pPr>
      <w:r w:rsidRPr="00966C01">
        <w:t xml:space="preserve">Prekiauti </w:t>
      </w:r>
      <w:r w:rsidR="0014633E" w:rsidRPr="0014633E">
        <w:t>prekymetyje</w:t>
      </w:r>
      <w:r w:rsidRPr="0014633E">
        <w:t xml:space="preserve"> </w:t>
      </w:r>
      <w:r w:rsidR="00423F46" w:rsidRPr="0014633E">
        <w:t>švarioje ir tvarkingoje</w:t>
      </w:r>
      <w:r w:rsidR="0080598D">
        <w:t xml:space="preserve"> 3 m x 2 m dydžio palapinėje</w:t>
      </w:r>
      <w:r w:rsidR="00C54EA5">
        <w:t>.</w:t>
      </w:r>
      <w:r w:rsidR="0014633E" w:rsidRPr="0014633E">
        <w:t xml:space="preserve"> Privaloma prekiauti baltose palapinėse arba specialiai apipavidalintoje palapinėje</w:t>
      </w:r>
      <w:r w:rsidR="00A02F1E">
        <w:t xml:space="preserve"> atspindinčioje prekinį ženklą ar prekiaujamą produktą</w:t>
      </w:r>
      <w:r w:rsidR="0014633E" w:rsidRPr="0014633E">
        <w:t>.</w:t>
      </w:r>
    </w:p>
    <w:p w14:paraId="2F03A4FD" w14:textId="77777777" w:rsidR="0083352B" w:rsidRPr="00F03868" w:rsidRDefault="00F03868" w:rsidP="00FC7919">
      <w:pPr>
        <w:numPr>
          <w:ilvl w:val="0"/>
          <w:numId w:val="5"/>
        </w:numPr>
        <w:jc w:val="both"/>
        <w:rPr>
          <w:u w:val="single"/>
        </w:rPr>
      </w:pPr>
      <w:r w:rsidRPr="00F03868">
        <w:t>Organizatorius suteikia elektros energiją tik tam tikrose prekybos vietose nurodytose schemoje. Kiti prekymečio dalyviai s</w:t>
      </w:r>
      <w:r w:rsidR="0083352B" w:rsidRPr="00F03868">
        <w:t>avarankiškai susitar</w:t>
      </w:r>
      <w:r w:rsidRPr="00F03868">
        <w:t xml:space="preserve">ia </w:t>
      </w:r>
      <w:r w:rsidR="0083352B" w:rsidRPr="00F03868">
        <w:t>su elektros energijos tiekėjais ir atsiskait</w:t>
      </w:r>
      <w:r w:rsidRPr="00F03868">
        <w:t>o</w:t>
      </w:r>
      <w:r w:rsidR="0083352B" w:rsidRPr="00F03868">
        <w:t xml:space="preserve"> jiems už sunaudotą elektros energiją</w:t>
      </w:r>
      <w:r w:rsidRPr="00F03868">
        <w:t xml:space="preserve">. Dalyviai turi turėti tvarkingus įrenginius elektrai pasijungti. </w:t>
      </w:r>
    </w:p>
    <w:p w14:paraId="39DD4578" w14:textId="77777777" w:rsidR="0083352B" w:rsidRPr="00966C01" w:rsidRDefault="0014633E" w:rsidP="00FC7919">
      <w:pPr>
        <w:numPr>
          <w:ilvl w:val="0"/>
          <w:numId w:val="5"/>
        </w:numPr>
        <w:jc w:val="both"/>
      </w:pPr>
      <w:r>
        <w:t>P</w:t>
      </w:r>
      <w:r w:rsidR="0083352B" w:rsidRPr="00966C01">
        <w:t xml:space="preserve">rekybos vietoje turėti </w:t>
      </w:r>
      <w:r>
        <w:t>o</w:t>
      </w:r>
      <w:r w:rsidR="0083352B" w:rsidRPr="00966C01">
        <w:t xml:space="preserve">rganizatoriaus išduotą </w:t>
      </w:r>
      <w:r>
        <w:t>l</w:t>
      </w:r>
      <w:r w:rsidR="0083352B" w:rsidRPr="00966C01">
        <w:t xml:space="preserve">eidimą prekybai bei kitus </w:t>
      </w:r>
      <w:r>
        <w:t>prekymečio</w:t>
      </w:r>
      <w:r w:rsidR="0083352B" w:rsidRPr="00966C01">
        <w:t xml:space="preserve"> dalyviui pagal Lietuvos Respublikos įstatymus privalomus dokumentus. </w:t>
      </w:r>
    </w:p>
    <w:p w14:paraId="78BED1F9" w14:textId="77777777" w:rsidR="0083352B" w:rsidRPr="00966C01" w:rsidRDefault="0083352B" w:rsidP="00FC7919">
      <w:pPr>
        <w:numPr>
          <w:ilvl w:val="0"/>
          <w:numId w:val="5"/>
        </w:numPr>
        <w:jc w:val="both"/>
      </w:pPr>
      <w:r w:rsidRPr="00966C01">
        <w:t xml:space="preserve">Savavališkai nekeisti prekybos vietos, dydžio, ribų. </w:t>
      </w:r>
    </w:p>
    <w:p w14:paraId="4B8A454D" w14:textId="77777777" w:rsidR="0083352B" w:rsidRPr="00966C01" w:rsidRDefault="0083352B" w:rsidP="00FC7919">
      <w:pPr>
        <w:numPr>
          <w:ilvl w:val="0"/>
          <w:numId w:val="5"/>
        </w:numPr>
        <w:jc w:val="both"/>
      </w:pPr>
      <w:r w:rsidRPr="00966C01">
        <w:t xml:space="preserve">Neperleisti </w:t>
      </w:r>
      <w:r w:rsidR="0014633E">
        <w:t>o</w:t>
      </w:r>
      <w:r w:rsidRPr="00966C01">
        <w:t xml:space="preserve">rganizatoriaus išduoto leidimo prekybai </w:t>
      </w:r>
      <w:r w:rsidR="0014633E">
        <w:t>tretiesiems</w:t>
      </w:r>
      <w:r w:rsidRPr="00966C01">
        <w:t xml:space="preserve"> asmenims.</w:t>
      </w:r>
    </w:p>
    <w:p w14:paraId="129180F4" w14:textId="77777777" w:rsidR="0083352B" w:rsidRDefault="0083352B" w:rsidP="00FC7919">
      <w:pPr>
        <w:numPr>
          <w:ilvl w:val="0"/>
          <w:numId w:val="5"/>
        </w:numPr>
        <w:jc w:val="both"/>
      </w:pPr>
      <w:r w:rsidRPr="00966C01">
        <w:t xml:space="preserve">Atsakyti už savo prekių ir turto apsaugą </w:t>
      </w:r>
      <w:r w:rsidR="0014633E">
        <w:t>prekymečio</w:t>
      </w:r>
      <w:r w:rsidRPr="00966C01">
        <w:t xml:space="preserve"> metu. </w:t>
      </w:r>
    </w:p>
    <w:p w14:paraId="730CCC48" w14:textId="77777777" w:rsidR="009A3552" w:rsidRPr="00966C01" w:rsidRDefault="009A3552" w:rsidP="00FC7919">
      <w:pPr>
        <w:numPr>
          <w:ilvl w:val="0"/>
          <w:numId w:val="5"/>
        </w:numPr>
        <w:jc w:val="both"/>
      </w:pPr>
      <w:r>
        <w:t>Prekybos vietą palaikyti švarią: prekiaujantys maisto produktais privalo pakloti nepralaidžią dangą prekybos vietoje.</w:t>
      </w:r>
    </w:p>
    <w:p w14:paraId="4D05D679" w14:textId="77777777" w:rsidR="0083352B" w:rsidRPr="00966C01" w:rsidRDefault="0083352B" w:rsidP="00FC7919">
      <w:pPr>
        <w:numPr>
          <w:ilvl w:val="0"/>
          <w:numId w:val="5"/>
        </w:numPr>
        <w:jc w:val="both"/>
      </w:pPr>
      <w:r w:rsidRPr="00966C01">
        <w:t xml:space="preserve">Pasibaigus veiklos terminui, sutvarkyti teritoriją, kurioje vyko veikla, nepalikti šiukšlių. Gavus </w:t>
      </w:r>
      <w:r w:rsidR="00A02F1E">
        <w:t xml:space="preserve">pretenziją iš trečiųjų šalių dėl padarytos žalos, paliktos netvarkingos aplinkos, atlyginti nuostolius organizatoriui. </w:t>
      </w:r>
      <w:r w:rsidRPr="00966C01">
        <w:t xml:space="preserve"> </w:t>
      </w:r>
    </w:p>
    <w:p w14:paraId="7401C495" w14:textId="5C52010B" w:rsidR="0083352B" w:rsidRDefault="0083352B" w:rsidP="00FC7919">
      <w:pPr>
        <w:numPr>
          <w:ilvl w:val="0"/>
          <w:numId w:val="5"/>
        </w:numPr>
        <w:jc w:val="both"/>
      </w:pPr>
      <w:r w:rsidRPr="00966C01">
        <w:lastRenderedPageBreak/>
        <w:t>Ši</w:t>
      </w:r>
      <w:r w:rsidR="00A02F1E">
        <w:t>os</w:t>
      </w:r>
      <w:r w:rsidRPr="00966C01">
        <w:t xml:space="preserve"> </w:t>
      </w:r>
      <w:r w:rsidR="00A02F1E">
        <w:t>dalyvio taisyklės</w:t>
      </w:r>
      <w:r w:rsidRPr="00966C01">
        <w:t xml:space="preserve"> yra teisinis įsipareigojimas. </w:t>
      </w:r>
      <w:r w:rsidR="00A02F1E">
        <w:t>Taisykles</w:t>
      </w:r>
      <w:r w:rsidRPr="00966C01">
        <w:t xml:space="preserve"> organizatori</w:t>
      </w:r>
      <w:r w:rsidR="00A02F1E">
        <w:t>ui</w:t>
      </w:r>
      <w:r w:rsidRPr="00966C01">
        <w:t xml:space="preserve"> pateikęs dalyvis patvirtina dalyvavimą </w:t>
      </w:r>
      <w:r w:rsidR="00A02F1E">
        <w:t>prekymetyje</w:t>
      </w:r>
      <w:r w:rsidRPr="00966C01">
        <w:t xml:space="preserve"> bei įsipareigoja vykdyti </w:t>
      </w:r>
      <w:r w:rsidR="00A02F1E">
        <w:t>prekymečio</w:t>
      </w:r>
      <w:r w:rsidRPr="00966C01">
        <w:t xml:space="preserve"> dalyvavimo taisyklių reikalavimus.</w:t>
      </w:r>
    </w:p>
    <w:p w14:paraId="50FEF556" w14:textId="6BABF386" w:rsidR="00C366AB" w:rsidRDefault="00C366AB" w:rsidP="00FC7919">
      <w:pPr>
        <w:numPr>
          <w:ilvl w:val="0"/>
          <w:numId w:val="5"/>
        </w:numPr>
        <w:jc w:val="both"/>
      </w:pPr>
      <w:r>
        <w:t>Reikalavimai gali būti papildyti vadovaujantis naujais reikalavimais, susijusiais su besikeičiančia epidemiologine situacija šalyje. Apie tai prekeiviai informuojame papildomu pranešimu elektroniniu paštu.</w:t>
      </w:r>
    </w:p>
    <w:p w14:paraId="02DF862A" w14:textId="77777777" w:rsidR="009C2502" w:rsidRDefault="009C2502" w:rsidP="0083352B">
      <w:pPr>
        <w:spacing w:line="360" w:lineRule="auto"/>
        <w:jc w:val="both"/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823"/>
        <w:gridCol w:w="567"/>
        <w:gridCol w:w="2693"/>
        <w:gridCol w:w="567"/>
        <w:gridCol w:w="1979"/>
      </w:tblGrid>
      <w:tr w:rsidR="00F418F8" w14:paraId="38442458" w14:textId="77777777" w:rsidTr="00F418F8">
        <w:tc>
          <w:tcPr>
            <w:tcW w:w="3823" w:type="dxa"/>
            <w:tcBorders>
              <w:top w:val="nil"/>
              <w:left w:val="nil"/>
              <w:right w:val="single" w:sz="4" w:space="0" w:color="FFFFFF" w:themeColor="background1"/>
            </w:tcBorders>
          </w:tcPr>
          <w:p w14:paraId="542A9A73" w14:textId="77777777" w:rsidR="00F418F8" w:rsidRDefault="00F418F8" w:rsidP="00FC7919">
            <w:pPr>
              <w:jc w:val="both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1741988" w14:textId="77777777" w:rsidR="00F418F8" w:rsidRDefault="00F418F8" w:rsidP="00FC7919">
            <w:pPr>
              <w:jc w:val="both"/>
            </w:pPr>
          </w:p>
        </w:tc>
        <w:tc>
          <w:tcPr>
            <w:tcW w:w="2693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E04222A" w14:textId="77777777" w:rsidR="00F418F8" w:rsidRDefault="00F418F8" w:rsidP="00FC7919">
            <w:pPr>
              <w:jc w:val="both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F9F8218" w14:textId="77777777" w:rsidR="00F418F8" w:rsidRDefault="00F418F8" w:rsidP="00FC7919">
            <w:pPr>
              <w:jc w:val="both"/>
            </w:pPr>
          </w:p>
        </w:tc>
        <w:tc>
          <w:tcPr>
            <w:tcW w:w="1979" w:type="dxa"/>
            <w:tcBorders>
              <w:top w:val="nil"/>
              <w:left w:val="single" w:sz="4" w:space="0" w:color="FFFFFF" w:themeColor="background1"/>
              <w:right w:val="nil"/>
            </w:tcBorders>
          </w:tcPr>
          <w:p w14:paraId="054EBA0C" w14:textId="77777777" w:rsidR="00F418F8" w:rsidRDefault="00F418F8" w:rsidP="00FC7919">
            <w:pPr>
              <w:jc w:val="both"/>
            </w:pPr>
          </w:p>
        </w:tc>
      </w:tr>
      <w:tr w:rsidR="00F418F8" w14:paraId="062A0C4C" w14:textId="77777777" w:rsidTr="00F418F8">
        <w:tc>
          <w:tcPr>
            <w:tcW w:w="3823" w:type="dxa"/>
            <w:tcBorders>
              <w:left w:val="nil"/>
              <w:bottom w:val="nil"/>
              <w:right w:val="single" w:sz="4" w:space="0" w:color="FFFFFF" w:themeColor="background1"/>
            </w:tcBorders>
          </w:tcPr>
          <w:p w14:paraId="29331079" w14:textId="77777777" w:rsidR="00F418F8" w:rsidRPr="00F418F8" w:rsidRDefault="00F418F8" w:rsidP="00FC7919">
            <w:pPr>
              <w:jc w:val="center"/>
              <w:rPr>
                <w:i/>
                <w:sz w:val="20"/>
                <w:szCs w:val="20"/>
              </w:rPr>
            </w:pPr>
            <w:r w:rsidRPr="00F418F8">
              <w:rPr>
                <w:i/>
                <w:sz w:val="20"/>
                <w:szCs w:val="20"/>
              </w:rPr>
              <w:t>(Vardas, pavardė)</w:t>
            </w:r>
          </w:p>
        </w:tc>
        <w:tc>
          <w:tcPr>
            <w:tcW w:w="567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270BB6E5" w14:textId="77777777" w:rsidR="00F418F8" w:rsidRPr="00F418F8" w:rsidRDefault="00F418F8" w:rsidP="00F418F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077426DE" w14:textId="77777777" w:rsidR="00F418F8" w:rsidRPr="00F418F8" w:rsidRDefault="00F418F8" w:rsidP="00FC7919">
            <w:pPr>
              <w:jc w:val="center"/>
              <w:rPr>
                <w:i/>
                <w:sz w:val="20"/>
                <w:szCs w:val="20"/>
              </w:rPr>
            </w:pPr>
            <w:r w:rsidRPr="00F418F8">
              <w:rPr>
                <w:i/>
                <w:sz w:val="20"/>
                <w:szCs w:val="20"/>
              </w:rPr>
              <w:t>(Parašas)</w:t>
            </w:r>
          </w:p>
        </w:tc>
        <w:tc>
          <w:tcPr>
            <w:tcW w:w="567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0E03C48E" w14:textId="77777777" w:rsidR="00F418F8" w:rsidRPr="00F418F8" w:rsidRDefault="00F418F8" w:rsidP="00F418F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79" w:type="dxa"/>
            <w:tcBorders>
              <w:left w:val="single" w:sz="4" w:space="0" w:color="FFFFFF" w:themeColor="background1"/>
              <w:bottom w:val="nil"/>
              <w:right w:val="nil"/>
            </w:tcBorders>
          </w:tcPr>
          <w:p w14:paraId="41982E03" w14:textId="77777777" w:rsidR="00F418F8" w:rsidRPr="00F418F8" w:rsidRDefault="00F418F8" w:rsidP="00FC7919">
            <w:pPr>
              <w:jc w:val="center"/>
              <w:rPr>
                <w:i/>
                <w:sz w:val="20"/>
                <w:szCs w:val="20"/>
              </w:rPr>
            </w:pPr>
            <w:r w:rsidRPr="00F418F8">
              <w:rPr>
                <w:i/>
                <w:sz w:val="20"/>
                <w:szCs w:val="20"/>
              </w:rPr>
              <w:t>(Data)</w:t>
            </w:r>
          </w:p>
        </w:tc>
      </w:tr>
    </w:tbl>
    <w:p w14:paraId="162685F8" w14:textId="77777777" w:rsidR="00FC7919" w:rsidRDefault="00FC7919" w:rsidP="0083352B">
      <w:pPr>
        <w:spacing w:line="360" w:lineRule="auto"/>
        <w:jc w:val="both"/>
      </w:pPr>
    </w:p>
    <w:p w14:paraId="5EEE4413" w14:textId="77777777" w:rsidR="00EB33B6" w:rsidRPr="001D71F0" w:rsidRDefault="00EB33B6" w:rsidP="0083352B">
      <w:pPr>
        <w:spacing w:line="360" w:lineRule="auto"/>
        <w:jc w:val="both"/>
      </w:pPr>
    </w:p>
    <w:p w14:paraId="75B66397" w14:textId="77777777" w:rsidR="0083352B" w:rsidRDefault="0083352B"/>
    <w:sectPr w:rsidR="0083352B" w:rsidSect="00482CE2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A041F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63386A"/>
    <w:multiLevelType w:val="hybridMultilevel"/>
    <w:tmpl w:val="D0A8357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54A92"/>
    <w:multiLevelType w:val="hybridMultilevel"/>
    <w:tmpl w:val="473A06F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C4E60"/>
    <w:multiLevelType w:val="hybridMultilevel"/>
    <w:tmpl w:val="63729BB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D0741"/>
    <w:multiLevelType w:val="hybridMultilevel"/>
    <w:tmpl w:val="B0D0A00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2E9"/>
    <w:rsid w:val="00041B83"/>
    <w:rsid w:val="00076D4A"/>
    <w:rsid w:val="000D0D4D"/>
    <w:rsid w:val="0014633E"/>
    <w:rsid w:val="00162524"/>
    <w:rsid w:val="001A61AB"/>
    <w:rsid w:val="002135AB"/>
    <w:rsid w:val="00423AF0"/>
    <w:rsid w:val="00423F46"/>
    <w:rsid w:val="00424C4E"/>
    <w:rsid w:val="00482CE2"/>
    <w:rsid w:val="004B1B0C"/>
    <w:rsid w:val="005F6BA3"/>
    <w:rsid w:val="006268F1"/>
    <w:rsid w:val="00630FB9"/>
    <w:rsid w:val="0066785E"/>
    <w:rsid w:val="00670A7B"/>
    <w:rsid w:val="006E2058"/>
    <w:rsid w:val="007C3702"/>
    <w:rsid w:val="0080598D"/>
    <w:rsid w:val="0083352B"/>
    <w:rsid w:val="0088496A"/>
    <w:rsid w:val="008C1BEF"/>
    <w:rsid w:val="00940405"/>
    <w:rsid w:val="00966C01"/>
    <w:rsid w:val="00980614"/>
    <w:rsid w:val="009A3552"/>
    <w:rsid w:val="009C2502"/>
    <w:rsid w:val="009E76AE"/>
    <w:rsid w:val="00A02D66"/>
    <w:rsid w:val="00A02F1E"/>
    <w:rsid w:val="00B91C24"/>
    <w:rsid w:val="00BB2408"/>
    <w:rsid w:val="00BE42E9"/>
    <w:rsid w:val="00C366AB"/>
    <w:rsid w:val="00C54EA5"/>
    <w:rsid w:val="00CC1E06"/>
    <w:rsid w:val="00CF15D1"/>
    <w:rsid w:val="00D461C3"/>
    <w:rsid w:val="00D90268"/>
    <w:rsid w:val="00E321BF"/>
    <w:rsid w:val="00E70B58"/>
    <w:rsid w:val="00EB33B6"/>
    <w:rsid w:val="00F03868"/>
    <w:rsid w:val="00F07F1D"/>
    <w:rsid w:val="00F106DE"/>
    <w:rsid w:val="00F217A1"/>
    <w:rsid w:val="00F418F8"/>
    <w:rsid w:val="00FC34A7"/>
    <w:rsid w:val="00FC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1684DF"/>
  <w15:chartTrackingRefBased/>
  <w15:docId w15:val="{E6BF1E5B-44B7-467B-B13E-51949F4F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E42E9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sid w:val="00940405"/>
    <w:rPr>
      <w:rFonts w:ascii="Tahoma" w:hAnsi="Tahoma"/>
      <w:sz w:val="16"/>
      <w:szCs w:val="16"/>
      <w:lang w:val="x-none" w:eastAsia="x-none"/>
    </w:rPr>
  </w:style>
  <w:style w:type="character" w:customStyle="1" w:styleId="DebesliotekstasDiagrama">
    <w:name w:val="Debesėlio tekstas Diagrama"/>
    <w:link w:val="Debesliotekstas"/>
    <w:rsid w:val="00940405"/>
    <w:rPr>
      <w:rFonts w:ascii="Tahoma" w:hAnsi="Tahoma" w:cs="Tahoma"/>
      <w:sz w:val="16"/>
      <w:szCs w:val="16"/>
    </w:rPr>
  </w:style>
  <w:style w:type="paragraph" w:styleId="prastasiniatinklio">
    <w:name w:val="Normal (Web)"/>
    <w:basedOn w:val="prastasis"/>
    <w:uiPriority w:val="99"/>
    <w:unhideWhenUsed/>
    <w:rsid w:val="0014633E"/>
    <w:pPr>
      <w:spacing w:before="100" w:beforeAutospacing="1" w:after="100" w:afterAutospacing="1"/>
    </w:pPr>
  </w:style>
  <w:style w:type="paragraph" w:styleId="Sraopastraipa">
    <w:name w:val="List Paragraph"/>
    <w:basedOn w:val="prastasis"/>
    <w:uiPriority w:val="34"/>
    <w:qFormat/>
    <w:rsid w:val="009A3552"/>
    <w:pPr>
      <w:ind w:left="720"/>
      <w:contextualSpacing/>
    </w:pPr>
  </w:style>
  <w:style w:type="table" w:styleId="Lentelstinklelis">
    <w:name w:val="Table Grid"/>
    <w:basedOn w:val="prastojilentel"/>
    <w:rsid w:val="00FC7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2550</Words>
  <Characters>1455</Characters>
  <Application>Microsoft Office Word</Application>
  <DocSecurity>0</DocSecurity>
  <Lines>12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Šventės „Šiaulių dienos 777“</vt:lpstr>
      <vt:lpstr>Šventės „Šiaulių dienos 777“</vt:lpstr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Šventės „Šiaulių dienos 777“</dc:title>
  <dc:subject/>
  <dc:creator>user</dc:creator>
  <cp:keywords/>
  <cp:lastModifiedBy>Martynas Ostašenkovas</cp:lastModifiedBy>
  <cp:revision>4</cp:revision>
  <cp:lastPrinted>2017-04-11T12:07:00Z</cp:lastPrinted>
  <dcterms:created xsi:type="dcterms:W3CDTF">2020-08-03T12:53:00Z</dcterms:created>
  <dcterms:modified xsi:type="dcterms:W3CDTF">2020-08-04T07:47:00Z</dcterms:modified>
</cp:coreProperties>
</file>